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86" w:rsidRDefault="004B1486" w:rsidP="006C10AA">
      <w:pPr>
        <w:rPr>
          <w:b/>
          <w:bCs/>
          <w:sz w:val="24"/>
          <w:szCs w:val="24"/>
        </w:rPr>
      </w:pPr>
      <w:bookmarkStart w:id="0" w:name="_GoBack"/>
      <w:bookmarkEnd w:id="0"/>
      <w:r>
        <w:rPr>
          <w:b/>
          <w:bCs/>
          <w:sz w:val="24"/>
          <w:szCs w:val="24"/>
        </w:rPr>
        <w:t>APPLYING RESEARCH ON EXPERT TEACHING</w:t>
      </w:r>
    </w:p>
    <w:p w:rsidR="004B1486" w:rsidRDefault="004B1486" w:rsidP="006C10AA">
      <w:pPr>
        <w:rPr>
          <w:b/>
          <w:bCs/>
          <w:sz w:val="24"/>
          <w:szCs w:val="24"/>
        </w:rPr>
      </w:pPr>
      <w:r>
        <w:rPr>
          <w:b/>
          <w:bCs/>
          <w:sz w:val="24"/>
          <w:szCs w:val="24"/>
        </w:rPr>
        <w:t>Workshop Description:</w:t>
      </w:r>
    </w:p>
    <w:p w:rsidR="004B1486" w:rsidRDefault="004B1486" w:rsidP="006C10AA">
      <w:pPr>
        <w:rPr>
          <w:bCs/>
          <w:sz w:val="24"/>
          <w:szCs w:val="24"/>
        </w:rPr>
      </w:pPr>
      <w:r>
        <w:rPr>
          <w:bCs/>
          <w:sz w:val="24"/>
          <w:szCs w:val="24"/>
        </w:rPr>
        <w:t>Can research on the difference between novice and expert teachers provide clues as to areas which we may want to develop?  It appears that the answer is “yes”.  This workshop will examine some interesting research findings and provide an opportunity for discussion of suggested classroom strategies.</w:t>
      </w:r>
    </w:p>
    <w:p w:rsidR="004B1486" w:rsidRDefault="004B1486" w:rsidP="006C10AA">
      <w:pPr>
        <w:rPr>
          <w:b/>
          <w:bCs/>
          <w:sz w:val="24"/>
          <w:szCs w:val="24"/>
        </w:rPr>
      </w:pPr>
      <w:r>
        <w:rPr>
          <w:b/>
          <w:bCs/>
          <w:sz w:val="24"/>
          <w:szCs w:val="24"/>
        </w:rPr>
        <w:t>Facilitator:</w:t>
      </w:r>
    </w:p>
    <w:p w:rsidR="004B1486" w:rsidRDefault="004B1486" w:rsidP="006C10AA">
      <w:pPr>
        <w:rPr>
          <w:bCs/>
          <w:sz w:val="24"/>
          <w:szCs w:val="24"/>
        </w:rPr>
      </w:pPr>
      <w:r>
        <w:rPr>
          <w:bCs/>
          <w:sz w:val="24"/>
          <w:szCs w:val="24"/>
        </w:rPr>
        <w:t>Norma McDonald Ewing, (newing@conestogac.on.ca), Conestoga College</w:t>
      </w:r>
    </w:p>
    <w:p w:rsidR="006C10AA" w:rsidRPr="006C10AA" w:rsidRDefault="006C10AA" w:rsidP="006C10AA">
      <w:pPr>
        <w:rPr>
          <w:b/>
          <w:bCs/>
          <w:sz w:val="24"/>
          <w:szCs w:val="24"/>
        </w:rPr>
      </w:pPr>
      <w:r w:rsidRPr="006C10AA">
        <w:rPr>
          <w:b/>
          <w:bCs/>
          <w:sz w:val="24"/>
          <w:szCs w:val="24"/>
        </w:rPr>
        <w:t>Re</w:t>
      </w:r>
      <w:r>
        <w:rPr>
          <w:b/>
          <w:bCs/>
          <w:sz w:val="24"/>
          <w:szCs w:val="24"/>
        </w:rPr>
        <w:t>ferences for</w:t>
      </w:r>
      <w:r w:rsidRPr="006C10AA">
        <w:rPr>
          <w:b/>
          <w:bCs/>
          <w:sz w:val="24"/>
          <w:szCs w:val="24"/>
        </w:rPr>
        <w:t xml:space="preserve"> Expert Teaching</w:t>
      </w:r>
      <w:r w:rsidR="004B1486">
        <w:rPr>
          <w:b/>
          <w:bCs/>
          <w:sz w:val="24"/>
          <w:szCs w:val="24"/>
        </w:rPr>
        <w:t>:</w:t>
      </w:r>
    </w:p>
    <w:p w:rsidR="006C10AA" w:rsidRPr="006C10AA" w:rsidRDefault="006C10AA" w:rsidP="002536C1">
      <w:pPr>
        <w:spacing w:after="0" w:line="240" w:lineRule="auto"/>
        <w:rPr>
          <w:sz w:val="24"/>
          <w:szCs w:val="24"/>
        </w:rPr>
      </w:pPr>
      <w:r w:rsidRPr="006C10AA">
        <w:rPr>
          <w:sz w:val="24"/>
          <w:szCs w:val="24"/>
        </w:rPr>
        <w:t>Anderson, L., (1994). Research on teaching and teacher education. In L. W. Anderson</w:t>
      </w:r>
    </w:p>
    <w:p w:rsidR="006C10AA" w:rsidRPr="006C10AA" w:rsidRDefault="006C10AA" w:rsidP="002536C1">
      <w:pPr>
        <w:spacing w:after="0" w:line="240" w:lineRule="auto"/>
        <w:rPr>
          <w:sz w:val="24"/>
          <w:szCs w:val="24"/>
        </w:rPr>
      </w:pPr>
      <w:proofErr w:type="gramStart"/>
      <w:r w:rsidRPr="006C10AA">
        <w:rPr>
          <w:sz w:val="24"/>
          <w:szCs w:val="24"/>
        </w:rPr>
        <w:t>and</w:t>
      </w:r>
      <w:proofErr w:type="gramEnd"/>
      <w:r w:rsidRPr="006C10AA">
        <w:rPr>
          <w:sz w:val="24"/>
          <w:szCs w:val="24"/>
        </w:rPr>
        <w:t xml:space="preserve"> L.A. </w:t>
      </w:r>
      <w:proofErr w:type="spellStart"/>
      <w:r w:rsidRPr="006C10AA">
        <w:rPr>
          <w:sz w:val="24"/>
          <w:szCs w:val="24"/>
        </w:rPr>
        <w:t>Sosniak</w:t>
      </w:r>
      <w:proofErr w:type="spellEnd"/>
      <w:r w:rsidRPr="006C10AA">
        <w:rPr>
          <w:sz w:val="24"/>
          <w:szCs w:val="24"/>
        </w:rPr>
        <w:t xml:space="preserve"> (</w:t>
      </w:r>
      <w:proofErr w:type="spellStart"/>
      <w:r w:rsidRPr="006C10AA">
        <w:rPr>
          <w:sz w:val="24"/>
          <w:szCs w:val="24"/>
        </w:rPr>
        <w:t>Eds</w:t>
      </w:r>
      <w:proofErr w:type="spellEnd"/>
      <w:r w:rsidRPr="006C10AA">
        <w:rPr>
          <w:sz w:val="24"/>
          <w:szCs w:val="24"/>
        </w:rPr>
        <w:t xml:space="preserve">) </w:t>
      </w:r>
      <w:r w:rsidRPr="006C10AA">
        <w:rPr>
          <w:i/>
          <w:iCs/>
          <w:sz w:val="24"/>
          <w:szCs w:val="24"/>
        </w:rPr>
        <w:t>Bloom’s taxonomy: a forty year retrospective</w:t>
      </w:r>
      <w:r w:rsidRPr="006C10AA">
        <w:rPr>
          <w:sz w:val="24"/>
          <w:szCs w:val="24"/>
        </w:rPr>
        <w:t>. (pp. 126-</w:t>
      </w:r>
    </w:p>
    <w:p w:rsidR="006C10AA" w:rsidRDefault="006C10AA" w:rsidP="002536C1">
      <w:pPr>
        <w:spacing w:after="0" w:line="240" w:lineRule="auto"/>
        <w:rPr>
          <w:sz w:val="24"/>
          <w:szCs w:val="24"/>
        </w:rPr>
      </w:pPr>
      <w:r w:rsidRPr="006C10AA">
        <w:rPr>
          <w:sz w:val="24"/>
          <w:szCs w:val="24"/>
        </w:rPr>
        <w:t>145) Chicago: University of Chicago Press.</w:t>
      </w:r>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proofErr w:type="spellStart"/>
      <w:r w:rsidRPr="006C10AA">
        <w:rPr>
          <w:sz w:val="24"/>
          <w:szCs w:val="24"/>
        </w:rPr>
        <w:t>Armbruster</w:t>
      </w:r>
      <w:proofErr w:type="spellEnd"/>
      <w:r w:rsidRPr="006C10AA">
        <w:rPr>
          <w:sz w:val="24"/>
          <w:szCs w:val="24"/>
        </w:rPr>
        <w:t>, B. (1996) Schema theory and the design of content-area textbooks.</w:t>
      </w:r>
    </w:p>
    <w:p w:rsidR="006C10AA" w:rsidRDefault="006C10AA" w:rsidP="002536C1">
      <w:pPr>
        <w:spacing w:after="0" w:line="240" w:lineRule="auto"/>
        <w:rPr>
          <w:sz w:val="24"/>
          <w:szCs w:val="24"/>
        </w:rPr>
      </w:pPr>
      <w:r w:rsidRPr="006C10AA">
        <w:rPr>
          <w:i/>
          <w:iCs/>
          <w:sz w:val="24"/>
          <w:szCs w:val="24"/>
        </w:rPr>
        <w:t xml:space="preserve">Educational Psychologist, 21, </w:t>
      </w:r>
      <w:r w:rsidRPr="006C10AA">
        <w:rPr>
          <w:sz w:val="24"/>
          <w:szCs w:val="24"/>
        </w:rPr>
        <w:t>253-276.</w:t>
      </w:r>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proofErr w:type="spellStart"/>
      <w:r w:rsidRPr="006C10AA">
        <w:rPr>
          <w:sz w:val="24"/>
          <w:szCs w:val="24"/>
        </w:rPr>
        <w:t>Bassey</w:t>
      </w:r>
      <w:proofErr w:type="spellEnd"/>
      <w:r w:rsidRPr="006C10AA">
        <w:rPr>
          <w:sz w:val="24"/>
          <w:szCs w:val="24"/>
        </w:rPr>
        <w:t xml:space="preserve">, Michael. (1999). </w:t>
      </w:r>
      <w:r w:rsidRPr="006C10AA">
        <w:rPr>
          <w:i/>
          <w:iCs/>
          <w:sz w:val="24"/>
          <w:szCs w:val="24"/>
        </w:rPr>
        <w:t>Case Study Research in Educational Settings</w:t>
      </w:r>
      <w:r w:rsidRPr="006C10AA">
        <w:rPr>
          <w:sz w:val="24"/>
          <w:szCs w:val="24"/>
        </w:rPr>
        <w:t>. Philadelphia,</w:t>
      </w:r>
    </w:p>
    <w:p w:rsidR="006C10AA" w:rsidRDefault="006C10AA" w:rsidP="002536C1">
      <w:pPr>
        <w:spacing w:after="0" w:line="240" w:lineRule="auto"/>
        <w:rPr>
          <w:sz w:val="24"/>
          <w:szCs w:val="24"/>
        </w:rPr>
      </w:pPr>
      <w:r w:rsidRPr="006C10AA">
        <w:rPr>
          <w:sz w:val="24"/>
          <w:szCs w:val="24"/>
        </w:rPr>
        <w:t>PA: Open University Press.</w:t>
      </w:r>
    </w:p>
    <w:p w:rsidR="002536C1" w:rsidRPr="006C10AA" w:rsidRDefault="002536C1" w:rsidP="002536C1">
      <w:pPr>
        <w:spacing w:after="0" w:line="240" w:lineRule="auto"/>
        <w:rPr>
          <w:sz w:val="24"/>
          <w:szCs w:val="24"/>
        </w:rPr>
      </w:pPr>
    </w:p>
    <w:p w:rsidR="006C10AA" w:rsidRDefault="006C10AA" w:rsidP="002536C1">
      <w:pPr>
        <w:spacing w:after="0" w:line="240" w:lineRule="auto"/>
        <w:rPr>
          <w:sz w:val="24"/>
          <w:szCs w:val="24"/>
        </w:rPr>
      </w:pPr>
      <w:r w:rsidRPr="006C10AA">
        <w:rPr>
          <w:sz w:val="24"/>
          <w:szCs w:val="24"/>
        </w:rPr>
        <w:t xml:space="preserve">Chi, M., Glaser, R. &amp; Farr, M. (1988). </w:t>
      </w:r>
      <w:r w:rsidRPr="006C10AA">
        <w:rPr>
          <w:i/>
          <w:iCs/>
          <w:sz w:val="24"/>
          <w:szCs w:val="24"/>
        </w:rPr>
        <w:t xml:space="preserve">The Nature of Expertise. </w:t>
      </w:r>
      <w:r w:rsidRPr="006C10AA">
        <w:rPr>
          <w:sz w:val="24"/>
          <w:szCs w:val="24"/>
        </w:rPr>
        <w:t>Hillsdale, NJ: Erlbaum</w:t>
      </w:r>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r w:rsidRPr="006C10AA">
        <w:rPr>
          <w:sz w:val="24"/>
          <w:szCs w:val="24"/>
        </w:rPr>
        <w:t>Korthagen, F. (2004). In search of the essence of a good teacher: towards a more holistic</w:t>
      </w:r>
    </w:p>
    <w:p w:rsidR="006C10AA" w:rsidRDefault="006C10AA" w:rsidP="002536C1">
      <w:pPr>
        <w:spacing w:after="0" w:line="240" w:lineRule="auto"/>
        <w:rPr>
          <w:sz w:val="24"/>
          <w:szCs w:val="24"/>
        </w:rPr>
      </w:pPr>
      <w:proofErr w:type="gramStart"/>
      <w:r w:rsidRPr="006C10AA">
        <w:rPr>
          <w:sz w:val="24"/>
          <w:szCs w:val="24"/>
        </w:rPr>
        <w:t>approach</w:t>
      </w:r>
      <w:proofErr w:type="gramEnd"/>
      <w:r w:rsidRPr="006C10AA">
        <w:rPr>
          <w:sz w:val="24"/>
          <w:szCs w:val="24"/>
        </w:rPr>
        <w:t xml:space="preserve"> in teacher education. </w:t>
      </w:r>
      <w:r w:rsidRPr="006C10AA">
        <w:rPr>
          <w:i/>
          <w:iCs/>
          <w:sz w:val="24"/>
          <w:szCs w:val="24"/>
        </w:rPr>
        <w:t>Teaching and Teacher Education</w:t>
      </w:r>
      <w:r w:rsidRPr="006C10AA">
        <w:rPr>
          <w:sz w:val="24"/>
          <w:szCs w:val="24"/>
        </w:rPr>
        <w:t>. Vol. 20, 77-97.</w:t>
      </w:r>
    </w:p>
    <w:p w:rsidR="002536C1" w:rsidRDefault="002536C1" w:rsidP="002536C1">
      <w:pPr>
        <w:spacing w:after="0" w:line="240" w:lineRule="auto"/>
        <w:rPr>
          <w:sz w:val="24"/>
          <w:szCs w:val="24"/>
        </w:rPr>
      </w:pPr>
    </w:p>
    <w:p w:rsidR="00643EA7" w:rsidRDefault="00974A50" w:rsidP="002536C1">
      <w:pPr>
        <w:spacing w:after="0" w:line="240" w:lineRule="auto"/>
        <w:rPr>
          <w:sz w:val="24"/>
          <w:szCs w:val="24"/>
        </w:rPr>
      </w:pPr>
      <w:hyperlink r:id="rId4" w:history="1">
        <w:r w:rsidR="002536C1" w:rsidRPr="00FD5EDE">
          <w:rPr>
            <w:rStyle w:val="Hyperlink"/>
            <w:sz w:val="24"/>
            <w:szCs w:val="24"/>
          </w:rPr>
          <w:t>http://www.teacherstoolbox.co.uk/index.html</w:t>
        </w:r>
      </w:hyperlink>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proofErr w:type="spellStart"/>
      <w:r w:rsidRPr="006C10AA">
        <w:rPr>
          <w:sz w:val="24"/>
          <w:szCs w:val="24"/>
        </w:rPr>
        <w:t>Segall</w:t>
      </w:r>
      <w:proofErr w:type="spellEnd"/>
      <w:r w:rsidRPr="006C10AA">
        <w:rPr>
          <w:sz w:val="24"/>
          <w:szCs w:val="24"/>
        </w:rPr>
        <w:t>, A. (2004). Revisiting pedagogical content knowledge: the pedagogy of</w:t>
      </w:r>
    </w:p>
    <w:p w:rsidR="006C10AA" w:rsidRDefault="006C10AA" w:rsidP="002536C1">
      <w:pPr>
        <w:spacing w:after="0" w:line="240" w:lineRule="auto"/>
        <w:rPr>
          <w:sz w:val="24"/>
          <w:szCs w:val="24"/>
        </w:rPr>
      </w:pPr>
      <w:proofErr w:type="gramStart"/>
      <w:r w:rsidRPr="006C10AA">
        <w:rPr>
          <w:sz w:val="24"/>
          <w:szCs w:val="24"/>
        </w:rPr>
        <w:t>content/</w:t>
      </w:r>
      <w:proofErr w:type="gramEnd"/>
      <w:r w:rsidRPr="006C10AA">
        <w:rPr>
          <w:sz w:val="24"/>
          <w:szCs w:val="24"/>
        </w:rPr>
        <w:t xml:space="preserve">the content of pedagogy. </w:t>
      </w:r>
      <w:r w:rsidRPr="006C10AA">
        <w:rPr>
          <w:i/>
          <w:iCs/>
          <w:sz w:val="24"/>
          <w:szCs w:val="24"/>
        </w:rPr>
        <w:t xml:space="preserve">Teaching and Teacher Education, 20, </w:t>
      </w:r>
      <w:r w:rsidRPr="006C10AA">
        <w:rPr>
          <w:sz w:val="24"/>
          <w:szCs w:val="24"/>
        </w:rPr>
        <w:t>489-504.</w:t>
      </w:r>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proofErr w:type="spellStart"/>
      <w:r w:rsidRPr="006C10AA">
        <w:rPr>
          <w:sz w:val="24"/>
          <w:szCs w:val="24"/>
        </w:rPr>
        <w:t>Tigchelaar</w:t>
      </w:r>
      <w:proofErr w:type="spellEnd"/>
      <w:r w:rsidRPr="006C10AA">
        <w:rPr>
          <w:sz w:val="24"/>
          <w:szCs w:val="24"/>
        </w:rPr>
        <w:t>, A &amp; Korthagen, F. (2004). Deepening the exchange of student teaching</w:t>
      </w:r>
    </w:p>
    <w:p w:rsidR="006C10AA" w:rsidRPr="006C10AA" w:rsidRDefault="006C10AA" w:rsidP="002536C1">
      <w:pPr>
        <w:spacing w:after="0" w:line="240" w:lineRule="auto"/>
        <w:rPr>
          <w:sz w:val="24"/>
          <w:szCs w:val="24"/>
        </w:rPr>
      </w:pPr>
      <w:proofErr w:type="gramStart"/>
      <w:r w:rsidRPr="006C10AA">
        <w:rPr>
          <w:sz w:val="24"/>
          <w:szCs w:val="24"/>
        </w:rPr>
        <w:t>experiences</w:t>
      </w:r>
      <w:proofErr w:type="gramEnd"/>
      <w:r w:rsidRPr="006C10AA">
        <w:rPr>
          <w:sz w:val="24"/>
          <w:szCs w:val="24"/>
        </w:rPr>
        <w:t>: implications for the pedagogy of teacher education of recent insights</w:t>
      </w:r>
    </w:p>
    <w:p w:rsidR="006C10AA" w:rsidRDefault="006C10AA" w:rsidP="002536C1">
      <w:pPr>
        <w:spacing w:after="0" w:line="240" w:lineRule="auto"/>
        <w:rPr>
          <w:sz w:val="24"/>
          <w:szCs w:val="24"/>
        </w:rPr>
      </w:pPr>
      <w:proofErr w:type="gramStart"/>
      <w:r w:rsidRPr="006C10AA">
        <w:rPr>
          <w:sz w:val="24"/>
          <w:szCs w:val="24"/>
        </w:rPr>
        <w:t>into</w:t>
      </w:r>
      <w:proofErr w:type="gramEnd"/>
      <w:r w:rsidRPr="006C10AA">
        <w:rPr>
          <w:sz w:val="24"/>
          <w:szCs w:val="24"/>
        </w:rPr>
        <w:t xml:space="preserve"> teacher behavior. </w:t>
      </w:r>
      <w:r w:rsidRPr="006C10AA">
        <w:rPr>
          <w:i/>
          <w:iCs/>
          <w:sz w:val="24"/>
          <w:szCs w:val="24"/>
        </w:rPr>
        <w:t xml:space="preserve">Teaching and Teacher Education, 20, </w:t>
      </w:r>
      <w:r w:rsidRPr="006C10AA">
        <w:rPr>
          <w:sz w:val="24"/>
          <w:szCs w:val="24"/>
        </w:rPr>
        <w:t>665-679.</w:t>
      </w:r>
    </w:p>
    <w:p w:rsidR="002536C1" w:rsidRPr="006C10AA" w:rsidRDefault="002536C1" w:rsidP="002536C1">
      <w:pPr>
        <w:spacing w:after="0" w:line="240" w:lineRule="auto"/>
        <w:rPr>
          <w:sz w:val="24"/>
          <w:szCs w:val="24"/>
        </w:rPr>
      </w:pPr>
    </w:p>
    <w:p w:rsidR="006C10AA" w:rsidRPr="006C10AA" w:rsidRDefault="006C10AA" w:rsidP="002536C1">
      <w:pPr>
        <w:spacing w:after="0" w:line="240" w:lineRule="auto"/>
        <w:rPr>
          <w:sz w:val="24"/>
          <w:szCs w:val="24"/>
        </w:rPr>
      </w:pPr>
      <w:proofErr w:type="spellStart"/>
      <w:r w:rsidRPr="006C10AA">
        <w:rPr>
          <w:sz w:val="24"/>
          <w:szCs w:val="24"/>
        </w:rPr>
        <w:t>Valenzeno</w:t>
      </w:r>
      <w:proofErr w:type="spellEnd"/>
      <w:r w:rsidRPr="006C10AA">
        <w:rPr>
          <w:sz w:val="24"/>
          <w:szCs w:val="24"/>
        </w:rPr>
        <w:t xml:space="preserve">, L., </w:t>
      </w:r>
      <w:proofErr w:type="spellStart"/>
      <w:r w:rsidRPr="006C10AA">
        <w:rPr>
          <w:sz w:val="24"/>
          <w:szCs w:val="24"/>
        </w:rPr>
        <w:t>Alibali</w:t>
      </w:r>
      <w:proofErr w:type="spellEnd"/>
      <w:r w:rsidRPr="006C10AA">
        <w:rPr>
          <w:sz w:val="24"/>
          <w:szCs w:val="24"/>
        </w:rPr>
        <w:t xml:space="preserve">, M. &amp; </w:t>
      </w:r>
      <w:proofErr w:type="spellStart"/>
      <w:r w:rsidRPr="006C10AA">
        <w:rPr>
          <w:sz w:val="24"/>
          <w:szCs w:val="24"/>
        </w:rPr>
        <w:t>Klatzky</w:t>
      </w:r>
      <w:proofErr w:type="spellEnd"/>
      <w:r w:rsidRPr="006C10AA">
        <w:rPr>
          <w:sz w:val="24"/>
          <w:szCs w:val="24"/>
        </w:rPr>
        <w:t>, R. (2003). Teacher’s gestures facilitate students’</w:t>
      </w:r>
    </w:p>
    <w:p w:rsidR="006C10AA" w:rsidRPr="006C10AA" w:rsidRDefault="006C10AA" w:rsidP="002536C1">
      <w:pPr>
        <w:spacing w:after="0" w:line="240" w:lineRule="auto"/>
        <w:rPr>
          <w:sz w:val="24"/>
          <w:szCs w:val="24"/>
        </w:rPr>
      </w:pPr>
      <w:proofErr w:type="gramStart"/>
      <w:r w:rsidRPr="006C10AA">
        <w:rPr>
          <w:sz w:val="24"/>
          <w:szCs w:val="24"/>
        </w:rPr>
        <w:t>learning</w:t>
      </w:r>
      <w:proofErr w:type="gramEnd"/>
      <w:r w:rsidRPr="006C10AA">
        <w:rPr>
          <w:sz w:val="24"/>
          <w:szCs w:val="24"/>
        </w:rPr>
        <w:t xml:space="preserve">: a lesson in symmetry. </w:t>
      </w:r>
      <w:r w:rsidRPr="006C10AA">
        <w:rPr>
          <w:i/>
          <w:iCs/>
          <w:sz w:val="24"/>
          <w:szCs w:val="24"/>
        </w:rPr>
        <w:t>Contemporary Educational Psychology</w:t>
      </w:r>
      <w:r w:rsidRPr="006C10AA">
        <w:rPr>
          <w:sz w:val="24"/>
          <w:szCs w:val="24"/>
        </w:rPr>
        <w:t>. 28,187-</w:t>
      </w:r>
      <w:r w:rsidR="002536C1">
        <w:rPr>
          <w:sz w:val="24"/>
          <w:szCs w:val="24"/>
        </w:rPr>
        <w:t>204.</w:t>
      </w:r>
    </w:p>
    <w:sectPr w:rsidR="006C10AA" w:rsidRPr="006C1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AA"/>
    <w:rsid w:val="00242C9C"/>
    <w:rsid w:val="002536C1"/>
    <w:rsid w:val="004B1486"/>
    <w:rsid w:val="00643EA7"/>
    <w:rsid w:val="006C10AA"/>
    <w:rsid w:val="00974A50"/>
    <w:rsid w:val="00CE2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AFAB-A906-46D4-AC23-3949DD2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erstoolbox.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Ewing</dc:creator>
  <cp:lastModifiedBy>Marshall, Leslie</cp:lastModifiedBy>
  <cp:revision>2</cp:revision>
  <dcterms:created xsi:type="dcterms:W3CDTF">2016-05-24T19:06:00Z</dcterms:created>
  <dcterms:modified xsi:type="dcterms:W3CDTF">2016-05-24T19:06:00Z</dcterms:modified>
</cp:coreProperties>
</file>